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November 11,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More Logic Practice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Write valid </w:t>
      </w: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and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invalid arguments for each of the following conclusions (you may write here or on another sheet of paper):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C1) Mr. Clausen’s beard is a living creature.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C2) Mr. Clausen should not take time off for the birth of his daughter.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C3) Mono is a desirable infection.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logic practice 2.docx</dc:title>
</cp:coreProperties>
</file>